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010" w:rsidR="00917765" w:rsidP="00917765" w:rsidRDefault="00917765" w14:paraId="067CD712" w14:textId="7DED11E5">
      <w:pPr>
        <w:rPr>
          <w:b/>
          <w:bCs/>
        </w:rPr>
      </w:pPr>
      <w:r w:rsidRPr="00803010">
        <w:rPr>
          <w:b/>
          <w:bCs/>
        </w:rPr>
        <w:t xml:space="preserve">ABOUT </w:t>
      </w:r>
      <w:r>
        <w:rPr>
          <w:b/>
          <w:bCs/>
        </w:rPr>
        <w:t>NHMRC CLINICAL TRIALS CENTRE</w:t>
      </w:r>
    </w:p>
    <w:p w:rsidRPr="001F06C7" w:rsidR="001F06C7" w:rsidP="001F06C7" w:rsidRDefault="008B68A4" w14:paraId="5EB7042B" w14:textId="4B86E237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</w:t>
      </w:r>
      <w:r w:rsidRPr="00AD3B80" w:rsidR="001F06C7">
        <w:rPr>
          <w:rFonts w:eastAsia="Times New Roman" w:cstheme="minorHAnsi"/>
          <w:bCs/>
        </w:rPr>
        <w:t xml:space="preserve">he NHMRC Clinical Trials Centre </w:t>
      </w:r>
      <w:r w:rsidR="001F06C7">
        <w:rPr>
          <w:rFonts w:eastAsia="Times New Roman" w:cstheme="minorHAnsi"/>
          <w:bCs/>
        </w:rPr>
        <w:t xml:space="preserve">(CTC) seeks to improve global health outcomes through high quality clinical trials and research. </w:t>
      </w:r>
    </w:p>
    <w:p w:rsidRPr="00867E4D" w:rsidR="001F06C7" w:rsidP="001F06C7" w:rsidRDefault="001F06C7" w14:paraId="4A66C6D0" w14:textId="663DDDD5">
      <w:pPr>
        <w:rPr>
          <w:rFonts w:cstheme="minorHAnsi"/>
        </w:rPr>
      </w:pPr>
      <w:r>
        <w:rPr>
          <w:rFonts w:cstheme="minorHAnsi"/>
        </w:rPr>
        <w:t>Our mission is to embed quality research in healthcare practice. We seek to achieve this through excellen</w:t>
      </w:r>
      <w:r w:rsidR="00E35E9B">
        <w:rPr>
          <w:rFonts w:cstheme="minorHAnsi"/>
        </w:rPr>
        <w:t xml:space="preserve">ce in trial conduct that addresses unmet clinical needs, improve health </w:t>
      </w:r>
      <w:r w:rsidR="00D14A0A">
        <w:rPr>
          <w:rFonts w:cstheme="minorHAnsi"/>
        </w:rPr>
        <w:t>outcomes,</w:t>
      </w:r>
      <w:r w:rsidR="00E35E9B">
        <w:rPr>
          <w:rFonts w:cstheme="minorHAnsi"/>
        </w:rPr>
        <w:t xml:space="preserve"> and change </w:t>
      </w:r>
      <w:r w:rsidR="006F1551">
        <w:rPr>
          <w:rFonts w:cstheme="minorHAnsi"/>
        </w:rPr>
        <w:t>practice; advancing</w:t>
      </w:r>
      <w:r w:rsidRPr="00E35E9B" w:rsidR="00E35E9B">
        <w:rPr>
          <w:rFonts w:cstheme="minorHAnsi"/>
        </w:rPr>
        <w:t xml:space="preserve"> the science and methodology of trials through the development of innovative trial designs and methods that provide high quality evidence and efficiency</w:t>
      </w:r>
      <w:r w:rsidR="00E35E9B">
        <w:rPr>
          <w:rFonts w:cstheme="minorHAnsi"/>
        </w:rPr>
        <w:t>; and leading and shaping the future of clinical trial capacity.</w:t>
      </w:r>
    </w:p>
    <w:p w:rsidRPr="004055F7" w:rsidR="00264706" w:rsidP="2738CCA4" w:rsidRDefault="001F06C7" w14:textId="13F9E2C7" w14:paraId="051FB4C8">
      <w:pPr>
        <w:rPr>
          <w:rFonts w:cs="Calibri" w:cstheme="minorAscii"/>
        </w:rPr>
      </w:pPr>
      <w:r w:rsidRPr="2738CCA4" w:rsidR="001F06C7">
        <w:rPr>
          <w:rFonts w:cs="Calibri" w:cstheme="minorAscii"/>
        </w:rPr>
        <w:t xml:space="preserve">Since </w:t>
      </w:r>
      <w:r w:rsidRPr="2738CCA4" w:rsidR="001F06C7">
        <w:rPr>
          <w:rFonts w:cs="Calibri" w:cstheme="minorAscii"/>
        </w:rPr>
        <w:t xml:space="preserve">our beginning in </w:t>
      </w:r>
      <w:r w:rsidRPr="2738CCA4" w:rsidR="001F06C7">
        <w:rPr>
          <w:rFonts w:cs="Calibri" w:cstheme="minorAscii"/>
        </w:rPr>
        <w:t xml:space="preserve">1988, we have run over 200 trials involving more </w:t>
      </w:r>
      <w:r w:rsidRPr="2738CCA4" w:rsidR="001F06C7">
        <w:rPr>
          <w:rFonts w:cs="Calibri" w:cstheme="minorAscii"/>
        </w:rPr>
        <w:t xml:space="preserve">than </w:t>
      </w:r>
      <w:r w:rsidRPr="2738CCA4" w:rsidR="00A07128">
        <w:rPr>
          <w:rFonts w:cs="Calibri" w:cstheme="minorAscii"/>
        </w:rPr>
        <w:t>90</w:t>
      </w:r>
      <w:r w:rsidRPr="2738CCA4" w:rsidR="001F06C7">
        <w:rPr>
          <w:rFonts w:cs="Calibri" w:cstheme="minorAscii"/>
        </w:rPr>
        <w:t xml:space="preserve">,000 patients and </w:t>
      </w:r>
      <w:r w:rsidRPr="2738CCA4" w:rsidR="00D14A0A">
        <w:rPr>
          <w:rFonts w:cs="Calibri" w:cstheme="minorAscii"/>
        </w:rPr>
        <w:t>1,000 national and</w:t>
      </w:r>
      <w:r w:rsidRPr="2738CCA4" w:rsidR="001F06C7">
        <w:rPr>
          <w:rFonts w:cs="Calibri" w:cstheme="minorAscii"/>
        </w:rPr>
        <w:t xml:space="preserve"> international collaborators</w:t>
      </w:r>
      <w:r w:rsidRPr="2738CCA4" w:rsidR="001F06C7">
        <w:rPr>
          <w:rFonts w:cs="Calibri" w:cstheme="minorAscii"/>
        </w:rPr>
        <w:t xml:space="preserve">. </w:t>
      </w:r>
      <w:r w:rsidRPr="2738CCA4" w:rsidR="006F1551">
        <w:rPr>
          <w:rFonts w:cs="Calibri" w:cstheme="minorAscii"/>
          <w:shd w:val="clear" w:color="auto" w:fill="FFFFFF"/>
        </w:rPr>
        <w:t>We</w:t>
      </w:r>
      <w:r w:rsidRPr="2738CCA4" w:rsidR="00264706">
        <w:rPr>
          <w:rFonts w:cs="Calibri" w:cstheme="minorAscii"/>
          <w:shd w:val="clear" w:color="auto" w:fill="FFFFFF"/>
        </w:rPr>
        <w:t xml:space="preserve"> currently </w:t>
      </w:r>
      <w:r w:rsidRPr="2738CCA4" w:rsidR="008B68A4">
        <w:rPr>
          <w:rFonts w:cs="Calibri" w:cstheme="minorAscii"/>
          <w:shd w:val="clear" w:color="auto" w:fill="FFFFFF"/>
        </w:rPr>
        <w:t>employ</w:t>
      </w:r>
      <w:r w:rsidRPr="2738CCA4" w:rsidR="00264706">
        <w:rPr>
          <w:rFonts w:cs="Calibri" w:cstheme="minorAscii"/>
          <w:shd w:val="clear" w:color="auto" w:fill="FFFFFF"/>
        </w:rPr>
        <w:t xml:space="preserve"> </w:t>
      </w:r>
      <w:r w:rsidRPr="2738CCA4" w:rsidR="008B68A4">
        <w:rPr>
          <w:rFonts w:cs="Calibri" w:cstheme="minorAscii"/>
          <w:shd w:val="clear" w:color="auto" w:fill="FFFFFF"/>
        </w:rPr>
        <w:t>over</w:t>
      </w:r>
      <w:r w:rsidRPr="2738CCA4" w:rsidR="00264706">
        <w:rPr>
          <w:rFonts w:cs="Calibri" w:cstheme="minorAscii"/>
          <w:shd w:val="clear" w:color="auto" w:fill="FFFFFF"/>
        </w:rPr>
        <w:t xml:space="preserve"> 260 staff</w:t>
      </w:r>
      <w:r w:rsidRPr="2738CCA4" w:rsidR="00CE3144">
        <w:rPr>
          <w:rFonts w:cs="Calibri" w:cstheme="minorAscii"/>
          <w:shd w:val="clear" w:color="auto" w:fill="FFFFFF"/>
        </w:rPr>
        <w:t xml:space="preserve">, </w:t>
      </w:r>
      <w:r w:rsidRPr="2738CCA4" w:rsidR="008B68A4">
        <w:rPr>
          <w:rFonts w:cs="Calibri" w:cstheme="minorAscii"/>
          <w:shd w:val="clear" w:color="auto" w:fill="FFFFFF"/>
        </w:rPr>
        <w:t>approximately 25% academic</w:t>
      </w:r>
      <w:r w:rsidRPr="2738CCA4" w:rsidR="006F1551">
        <w:rPr>
          <w:rFonts w:cs="Calibri" w:cstheme="minorAscii"/>
          <w:shd w:val="clear" w:color="auto" w:fill="FFFFFF"/>
        </w:rPr>
        <w:t xml:space="preserve"> and 75% professional</w:t>
      </w:r>
      <w:r w:rsidRPr="2738CCA4" w:rsidR="008B68A4">
        <w:rPr>
          <w:rFonts w:cs="Calibri" w:cstheme="minorAscii"/>
          <w:shd w:val="clear" w:color="auto" w:fill="FFFFFF"/>
        </w:rPr>
        <w:t xml:space="preserve">. </w:t>
      </w:r>
    </w:p>
    <w:p w:rsidR="008B68A4" w:rsidP="008B68A4" w:rsidRDefault="006F1551" w14:paraId="544C5A37" w14:textId="28DB4B6F">
      <w:pPr>
        <w:rPr>
          <w:b/>
          <w:bCs/>
        </w:rPr>
      </w:pPr>
      <w:r>
        <w:rPr>
          <w:b/>
          <w:bCs/>
        </w:rPr>
        <w:t>Research</w:t>
      </w:r>
    </w:p>
    <w:p w:rsidR="006F1551" w:rsidP="2738CCA4" w:rsidRDefault="009279A9" w14:paraId="73631585" w14:textId="6D574E2E">
      <w:pPr>
        <w:pStyle w:val="NormalWeb"/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CTC brings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expertise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across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full trial spectrum – from identifying research questions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developing and conducting trials, to collecting and analysing data, and preparing manuscripts. 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 currently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have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over 85 active trials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at </w:t>
      </w:r>
      <w:r w:rsidRPr="2738CCA4" w:rsidR="00C167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over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300 sites globally.</w:t>
      </w:r>
    </w:p>
    <w:p w:rsidR="006F1551" w:rsidP="2738CCA4" w:rsidRDefault="009279A9" w14:paraId="4F3BCD74" w14:textId="100C663A">
      <w:pPr>
        <w:pStyle w:val="NormalWeb"/>
        <w:bidi w:val="0"/>
        <w:spacing w:before="0" w:beforeAutospacing="off" w:after="15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We have the expertise to work across multiple therapeutic areas and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cutting-edge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 study design.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 Our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trials have targeted improvements in healthcare in the therapeutic areas of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COVID-19,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oncology, cardiovascular disease, diabetes,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kidney health, </w:t>
      </w:r>
      <w:r w:rsidRPr="2738CCA4" w:rsidR="004055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neonatal and perinatal complications. </w:t>
      </w:r>
    </w:p>
    <w:p w:rsidR="006F1551" w:rsidP="2738CCA4" w:rsidRDefault="009279A9" w14:textId="741907E5" w14:paraId="58B77CA5">
      <w:pPr>
        <w:pStyle w:val="NormalWeb"/>
        <w:bidi w:val="0"/>
        <w:spacing w:before="0" w:beforeAutospacing="off" w:after="15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38CCA4" w:rsidR="009279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We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work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collaboratively to design and run trials with five of the 13 national cancer cooperative groups in Australia. We have helped recruit thousands of patients locally and globally 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 trials involving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breast, oesophageal, gastric, colorectal, lung, gynaecological, 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neurological,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urogenital cancers. </w:t>
      </w:r>
    </w:p>
    <w:p w:rsidR="006F1551" w:rsidP="2738CCA4" w:rsidRDefault="009279A9" w14:paraId="312F8F97" w14:textId="0B0879D1">
      <w:pPr>
        <w:pStyle w:val="NormalWeb"/>
        <w:bidi w:val="0"/>
        <w:spacing w:before="0" w:beforeAutospacing="off" w:after="15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Our methodology group includes 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health economics, biostatistics, evidence integration and translational research. These expert teams wor</w:t>
      </w:r>
      <w:r w:rsidRPr="2738CCA4" w:rsidR="006F15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 with trial data to inform healthcare providers about best practice.</w:t>
      </w:r>
    </w:p>
    <w:p w:rsidR="006F1551" w:rsidP="2738CCA4" w:rsidRDefault="009279A9" w14:paraId="08395D50" w14:textId="5626E9AC">
      <w:pPr>
        <w:pStyle w:val="NormalWeb"/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2738CCA4" w:rsidR="2738CCA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 w:eastAsia="en-AU"/>
        </w:rPr>
        <w:t xml:space="preserve">The </w:t>
      </w:r>
      <w:hyperlink r:id="R67f21a18504a4145">
        <w:r w:rsidRPr="2738CCA4" w:rsidR="2738CCA4">
          <w:rPr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AU" w:eastAsia="en-AU"/>
          </w:rPr>
          <w:t>Australian New Zealand Clinical Trials Registry (ANZCTR)</w:t>
        </w:r>
      </w:hyperlink>
      <w:r w:rsidRPr="2738CCA4" w:rsidR="2738CCA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 w:eastAsia="en-AU"/>
        </w:rPr>
        <w:t xml:space="preserve"> an online public registry of clinical trials is based at the CTC.</w:t>
      </w:r>
    </w:p>
    <w:p w:rsidRPr="00C167F5" w:rsidR="00C167F5" w:rsidP="006F1551" w:rsidRDefault="00C167F5" w14:paraId="51CC6213" w14:textId="74CCEF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C167F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Teaching</w:t>
      </w:r>
    </w:p>
    <w:p w:rsidR="007E27DC" w:rsidP="006F1551" w:rsidRDefault="00C167F5" w14:paraId="51D7177E" w14:textId="6F59B53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167F5">
        <w:rPr>
          <w:rFonts w:asciiTheme="minorHAnsi" w:hAnsiTheme="minorHAnsi" w:cstheme="minorHAnsi"/>
          <w:sz w:val="22"/>
          <w:szCs w:val="22"/>
          <w:shd w:val="clear" w:color="auto" w:fill="FFFFFF"/>
        </w:rPr>
        <w:t>Through our extensive education and training program we aim to foster high-quality collaborative clinical trials research to improve health outcomes for patients worldwide.</w:t>
      </w:r>
    </w:p>
    <w:p w:rsidR="007E27DC" w:rsidP="006F1551" w:rsidRDefault="007E27DC" w14:paraId="15F02DCE" w14:textId="2B0168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offer postgraduate courses in clinical trials research including Masters programs, </w:t>
      </w:r>
      <w:r w:rsidR="00F06C8F">
        <w:rPr>
          <w:rFonts w:asciiTheme="minorHAnsi" w:hAnsiTheme="minorHAnsi" w:cstheme="minorHAnsi"/>
          <w:sz w:val="22"/>
          <w:szCs w:val="22"/>
          <w:shd w:val="clear" w:color="auto" w:fill="FFFFFF"/>
        </w:rPr>
        <w:t>PhDs,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Higher research degrees. </w:t>
      </w:r>
    </w:p>
    <w:p w:rsidR="00C167F5" w:rsidP="006F1551" w:rsidRDefault="00C167F5" w14:paraId="3EFF7F2C" w14:textId="570785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We</w:t>
      </w:r>
      <w:r w:rsidRPr="00C167F5">
        <w:rPr>
          <w:rFonts w:asciiTheme="minorHAnsi" w:hAnsiTheme="minorHAnsi" w:cstheme="minorHAnsi"/>
          <w:sz w:val="22"/>
          <w:szCs w:val="22"/>
          <w:shd w:val="clear" w:color="auto" w:fill="FFFFFF"/>
        </w:rPr>
        <w:t> identif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Pr="00C167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high-calibre people as PhD, masters, honours or summer students to progress particular research questions. These candidates contribute significantly to the development of </w:t>
      </w:r>
      <w:r w:rsidRPr="00C167F5">
        <w:rPr>
          <w:rFonts w:asciiTheme="minorHAnsi" w:hAnsiTheme="minorHAnsi" w:cstheme="minorHAnsi"/>
          <w:sz w:val="22"/>
          <w:szCs w:val="22"/>
        </w:rPr>
        <w:t>CTC</w:t>
      </w:r>
      <w:r w:rsidRPr="00C167F5">
        <w:rPr>
          <w:rFonts w:asciiTheme="minorHAnsi" w:hAnsiTheme="minorHAnsi" w:cstheme="minorHAnsi"/>
          <w:sz w:val="22"/>
          <w:szCs w:val="22"/>
          <w:shd w:val="clear" w:color="auto" w:fill="FFFFFF"/>
        </w:rPr>
        <w:t> research.</w:t>
      </w:r>
    </w:p>
    <w:p w:rsidR="007E27DC" w:rsidP="006F1551" w:rsidRDefault="007E27DC" w14:paraId="56956EDF" w14:textId="125B5C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 the past five years 56 students have graduated</w:t>
      </w:r>
      <w:r w:rsidR="009279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our postgraduate education programs.</w:t>
      </w:r>
    </w:p>
    <w:p w:rsidR="006F1551" w:rsidP="006F1551" w:rsidRDefault="006F1551" w14:paraId="497F3B59" w14:textId="77777777">
      <w:pPr>
        <w:rPr>
          <w:rFonts w:cstheme="minorHAnsi"/>
        </w:rPr>
      </w:pPr>
    </w:p>
    <w:p w:rsidRPr="008B68A4" w:rsidR="006F1551" w:rsidP="008B68A4" w:rsidRDefault="006F1551" w14:paraId="3B0AD517" w14:textId="77777777">
      <w:pPr>
        <w:rPr>
          <w:b/>
          <w:bCs/>
        </w:rPr>
      </w:pPr>
    </w:p>
    <w:p w:rsidRPr="00D4081A" w:rsidR="008B68A4" w:rsidP="001F06C7" w:rsidRDefault="008B68A4" w14:paraId="6943B79B" w14:textId="777777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86DCF" w:rsidRDefault="00C86DCF" w14:paraId="2148D935" w14:textId="77777777"/>
    <w:sectPr w:rsidR="00C86DC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7EA9"/>
    <w:multiLevelType w:val="hybridMultilevel"/>
    <w:tmpl w:val="DA80F8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686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65"/>
    <w:rsid w:val="001F06C7"/>
    <w:rsid w:val="00264706"/>
    <w:rsid w:val="004055F7"/>
    <w:rsid w:val="00532067"/>
    <w:rsid w:val="00666080"/>
    <w:rsid w:val="006F1551"/>
    <w:rsid w:val="007E27DC"/>
    <w:rsid w:val="008B68A4"/>
    <w:rsid w:val="00917765"/>
    <w:rsid w:val="009279A9"/>
    <w:rsid w:val="00A07128"/>
    <w:rsid w:val="00C167F5"/>
    <w:rsid w:val="00C86DCF"/>
    <w:rsid w:val="00CE3144"/>
    <w:rsid w:val="00D14A0A"/>
    <w:rsid w:val="00E35E9B"/>
    <w:rsid w:val="00F06C8F"/>
    <w:rsid w:val="00FF2FB4"/>
    <w:rsid w:val="1756FB6F"/>
    <w:rsid w:val="2738CCA4"/>
    <w:rsid w:val="2772AEDF"/>
    <w:rsid w:val="2AACAD81"/>
    <w:rsid w:val="2DE44E43"/>
    <w:rsid w:val="4070DD04"/>
    <w:rsid w:val="49FE96ED"/>
    <w:rsid w:val="4FCD52E7"/>
    <w:rsid w:val="5B087DAA"/>
    <w:rsid w:val="632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1541"/>
  <w15:chartTrackingRefBased/>
  <w15:docId w15:val="{694B2D57-97E2-43CA-9909-CBFD44C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7765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7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167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tc.usyd.edu.au/our-work/specialist-areas/australian-new-zealand-clinical-trials-registry-anzctr/" TargetMode="External" Id="R67f21a18504a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Munro</dc:creator>
  <keywords/>
  <dc:description/>
  <lastModifiedBy>Sarah Munro</lastModifiedBy>
  <revision>8</revision>
  <dcterms:created xsi:type="dcterms:W3CDTF">2022-07-12T01:02:00.0000000Z</dcterms:created>
  <dcterms:modified xsi:type="dcterms:W3CDTF">2022-07-18T05:53:52.3835846Z</dcterms:modified>
</coreProperties>
</file>